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7" w:rsidRDefault="00626D67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>
        <w:rPr>
          <w:noProof/>
          <w:lang w:eastAsia="en-GB"/>
        </w:rPr>
        <w:drawing>
          <wp:inline distT="0" distB="0" distL="0" distR="0" wp14:anchorId="4E5B4BAF" wp14:editId="1F7366DF">
            <wp:extent cx="5238750" cy="571500"/>
            <wp:effectExtent l="0" t="0" r="0" b="0"/>
            <wp:docPr id="1" name="Picture 1" descr="cid:image001.png@01D3473D.79A8F75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473D.79A8F750">
                      <a:hlinkClick r:id="rId6"/>
                    </pic:cNvPr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B7" w:rsidRPr="004C73B7" w:rsidRDefault="00F66591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ON LINE ACCESS FOR PROXY</w:t>
      </w:r>
    </w:p>
    <w:p w:rsidR="004C73B7" w:rsidRPr="004C73B7" w:rsidRDefault="00F66591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INFORMATION LEAFLET &amp; APPLICATION FORM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-ItalicMT"/>
          <w:i/>
          <w:iCs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Proxy Access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 xml:space="preserve">This is where someone is given access </w:t>
      </w:r>
      <w:r w:rsidR="00620495">
        <w:rPr>
          <w:rFonts w:cs="ArialMT"/>
        </w:rPr>
        <w:t xml:space="preserve">to </w:t>
      </w:r>
      <w:r w:rsidRPr="004C73B7">
        <w:rPr>
          <w:rFonts w:cs="ArialMT"/>
        </w:rPr>
        <w:t>another person’s medical record. For example:</w:t>
      </w:r>
    </w:p>
    <w:p w:rsidR="004C73B7" w:rsidRPr="004C73B7" w:rsidRDefault="004C73B7" w:rsidP="004C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 parent or guardian who has legal responsibility for a patient under 11</w:t>
      </w:r>
    </w:p>
    <w:p w:rsidR="004C73B7" w:rsidRPr="004C73B7" w:rsidRDefault="004C73B7" w:rsidP="004C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 parent or guardian where a patient aged 11 or over has given permission</w:t>
      </w:r>
    </w:p>
    <w:p w:rsidR="004C73B7" w:rsidRPr="004C73B7" w:rsidRDefault="004C73B7" w:rsidP="004C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 parent or guardian who has legal responsibility for a patient between 11 and 16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 xml:space="preserve">             </w:t>
      </w:r>
      <w:proofErr w:type="gramStart"/>
      <w:r w:rsidRPr="004C73B7">
        <w:rPr>
          <w:rFonts w:cs="ArialMT"/>
        </w:rPr>
        <w:t>where</w:t>
      </w:r>
      <w:proofErr w:type="gramEnd"/>
      <w:r w:rsidRPr="004C73B7">
        <w:rPr>
          <w:rFonts w:cs="ArialMT"/>
        </w:rPr>
        <w:t xml:space="preserve"> GP has assessed that the patient is not capable of making their own decisions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 xml:space="preserve">             </w:t>
      </w:r>
      <w:proofErr w:type="gramStart"/>
      <w:r w:rsidRPr="004C73B7">
        <w:rPr>
          <w:rFonts w:cs="ArialMT"/>
        </w:rPr>
        <w:t>re</w:t>
      </w:r>
      <w:proofErr w:type="gramEnd"/>
      <w:r w:rsidRPr="004C73B7">
        <w:rPr>
          <w:rFonts w:cs="ArialMT"/>
        </w:rPr>
        <w:t xml:space="preserve"> medical health</w:t>
      </w:r>
    </w:p>
    <w:p w:rsidR="004C73B7" w:rsidRPr="00AA3D49" w:rsidRDefault="004C73B7" w:rsidP="00AA3D4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</w:rPr>
      </w:pPr>
      <w:r w:rsidRPr="00AA3D49">
        <w:rPr>
          <w:rFonts w:cs="ArialMT"/>
        </w:rPr>
        <w:t>A carer for a patient over the age of 16 – we would need a letter from the patient giving them permission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proxy does not have to be a registered patient at the practice, but must be registered</w:t>
      </w:r>
      <w:r>
        <w:rPr>
          <w:rFonts w:cs="ArialMT"/>
        </w:rPr>
        <w:t xml:space="preserve"> </w:t>
      </w:r>
      <w:r w:rsidRPr="004C73B7">
        <w:rPr>
          <w:rFonts w:cs="ArialMT"/>
        </w:rPr>
        <w:t>for online services on the GP system and always use their own login credentials.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To be given proxy access, a patient’s representative must have the informed consent of</w:t>
      </w:r>
      <w:r>
        <w:rPr>
          <w:rFonts w:cs="ArialMT"/>
        </w:rPr>
        <w:t xml:space="preserve"> </w:t>
      </w:r>
      <w:r w:rsidRPr="004C73B7">
        <w:rPr>
          <w:rFonts w:cs="ArialMT"/>
        </w:rPr>
        <w:t xml:space="preserve">the patient or, in cases where the patient does not have capacity to </w:t>
      </w:r>
      <w:r w:rsidR="0086494B" w:rsidRPr="004C73B7">
        <w:rPr>
          <w:rFonts w:cs="ArialMT"/>
        </w:rPr>
        <w:t>consent;</w:t>
      </w:r>
      <w:r w:rsidRPr="004C73B7">
        <w:rPr>
          <w:rFonts w:cs="ArialMT"/>
        </w:rPr>
        <w:t xml:space="preserve"> the GP has</w:t>
      </w:r>
      <w:r>
        <w:rPr>
          <w:rFonts w:cs="ArialMT"/>
        </w:rPr>
        <w:t xml:space="preserve"> </w:t>
      </w:r>
      <w:r w:rsidRPr="004C73B7">
        <w:rPr>
          <w:rFonts w:cs="ArialMT"/>
        </w:rPr>
        <w:t>decided that it is in the best interests of the patient for them to have proxy access.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Patients aged 16 or above are assumed to have the capacity to consent unless there is an</w:t>
      </w:r>
      <w:r w:rsidR="007A5A43">
        <w:rPr>
          <w:rFonts w:cs="ArialMT"/>
        </w:rPr>
        <w:t xml:space="preserve"> indication that they are not.  </w:t>
      </w:r>
      <w:r w:rsidRPr="004C73B7">
        <w:rPr>
          <w:rFonts w:cs="ArialMT"/>
        </w:rPr>
        <w:t>Young patients between the ages of 11 and 16 who are judged</w:t>
      </w:r>
      <w:r w:rsidR="007A5A43">
        <w:rPr>
          <w:rFonts w:cs="ArialMT"/>
        </w:rPr>
        <w:t xml:space="preserve"> </w:t>
      </w:r>
      <w:r w:rsidRPr="004C73B7">
        <w:rPr>
          <w:rFonts w:cs="ArialMT"/>
        </w:rPr>
        <w:t>as having capacity to consent by their GP may also consent to give proxy access to</w:t>
      </w:r>
      <w:r>
        <w:rPr>
          <w:rFonts w:cs="ArialMT"/>
        </w:rPr>
        <w:t xml:space="preserve"> </w:t>
      </w:r>
      <w:r w:rsidRPr="004C73B7">
        <w:rPr>
          <w:rFonts w:cs="ArialMT"/>
        </w:rPr>
        <w:t>someone else.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Legitimate reasons for the practice to authorise proxy access without the patient's consent</w:t>
      </w:r>
      <w:r w:rsidR="007A5A43">
        <w:rPr>
          <w:rFonts w:cs="ArialMT"/>
        </w:rPr>
        <w:t xml:space="preserve"> </w:t>
      </w:r>
      <w:r w:rsidRPr="004C73B7">
        <w:rPr>
          <w:rFonts w:cs="ArialMT"/>
        </w:rPr>
        <w:t>include:</w:t>
      </w:r>
    </w:p>
    <w:p w:rsidR="004C73B7" w:rsidRPr="004C73B7" w:rsidRDefault="004C73B7" w:rsidP="004C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patient has been assessed as lacking capacity to make a decision on granting proxy</w:t>
      </w:r>
      <w:r>
        <w:rPr>
          <w:rFonts w:cs="ArialMT"/>
        </w:rPr>
        <w:t xml:space="preserve"> </w:t>
      </w:r>
      <w:r w:rsidRPr="004C73B7">
        <w:rPr>
          <w:rFonts w:cs="ArialMT"/>
        </w:rPr>
        <w:t>access and</w:t>
      </w:r>
      <w:r w:rsidR="007A5A43">
        <w:rPr>
          <w:rFonts w:cs="ArialMT"/>
        </w:rPr>
        <w:t>,</w:t>
      </w:r>
    </w:p>
    <w:p w:rsidR="004C73B7" w:rsidRPr="0025284C" w:rsidRDefault="004C73B7" w:rsidP="004C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MT"/>
        </w:rPr>
      </w:pPr>
      <w:r w:rsidRPr="0025284C">
        <w:rPr>
          <w:rFonts w:cs="ArialMT"/>
        </w:rPr>
        <w:t>the applicant has a lasting power of attorney for health and welfare registered with</w:t>
      </w:r>
      <w:r w:rsidR="0025284C" w:rsidRPr="0025284C">
        <w:rPr>
          <w:rFonts w:cs="ArialMT"/>
        </w:rPr>
        <w:t xml:space="preserve"> </w:t>
      </w:r>
      <w:r w:rsidRPr="0025284C">
        <w:rPr>
          <w:rFonts w:cs="ArialMT"/>
        </w:rPr>
        <w:t xml:space="preserve">              the Office of the Public Guardian,</w:t>
      </w:r>
    </w:p>
    <w:p w:rsidR="004C73B7" w:rsidRPr="004C73B7" w:rsidRDefault="004C73B7" w:rsidP="004C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applicant is acting as a Court Appointed Deputy on behalf of the patient, or</w:t>
      </w:r>
      <w:r w:rsidR="0086494B">
        <w:rPr>
          <w:rFonts w:cs="ArialMT"/>
        </w:rPr>
        <w:t xml:space="preserve"> </w:t>
      </w:r>
    </w:p>
    <w:p w:rsidR="004C73B7" w:rsidRPr="0025284C" w:rsidRDefault="004C73B7" w:rsidP="004C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MT"/>
        </w:rPr>
      </w:pPr>
      <w:proofErr w:type="gramStart"/>
      <w:r w:rsidRPr="0025284C">
        <w:rPr>
          <w:rFonts w:cs="ArialMT"/>
        </w:rPr>
        <w:t>the</w:t>
      </w:r>
      <w:proofErr w:type="gramEnd"/>
      <w:r w:rsidRPr="0025284C">
        <w:rPr>
          <w:rFonts w:cs="ArialMT"/>
        </w:rPr>
        <w:t xml:space="preserve"> GP considers it to be in the patient’s interest in accordance with the Mental</w:t>
      </w:r>
      <w:r w:rsidR="0025284C" w:rsidRPr="0025284C">
        <w:rPr>
          <w:rFonts w:cs="ArialMT"/>
        </w:rPr>
        <w:t xml:space="preserve"> </w:t>
      </w:r>
      <w:r w:rsidRPr="0025284C">
        <w:rPr>
          <w:rFonts w:cs="ArialMT"/>
        </w:rPr>
        <w:t xml:space="preserve">              Capacity Act 2005 code of practice.</w:t>
      </w:r>
    </w:p>
    <w:p w:rsidR="004C73B7" w:rsidRPr="004C73B7" w:rsidRDefault="004C73B7" w:rsidP="004C73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patient is a child who has been assessed as not competent to make a decision on</w:t>
      </w:r>
      <w:r>
        <w:rPr>
          <w:rFonts w:cs="ArialMT"/>
        </w:rPr>
        <w:t xml:space="preserve"> </w:t>
      </w:r>
      <w:r w:rsidRPr="004C73B7">
        <w:rPr>
          <w:rFonts w:cs="ArialMT"/>
        </w:rPr>
        <w:t>granting proxy access</w:t>
      </w:r>
      <w:r w:rsidR="007A5A43">
        <w:rPr>
          <w:rFonts w:cs="ArialMT"/>
        </w:rPr>
        <w:t>.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practice may refuse or withdraw proxy access, if they judge that it is in the patient’s best</w:t>
      </w:r>
      <w:r>
        <w:rPr>
          <w:rFonts w:cs="ArialMT"/>
        </w:rPr>
        <w:t xml:space="preserve"> </w:t>
      </w:r>
      <w:r w:rsidRPr="004C73B7">
        <w:rPr>
          <w:rFonts w:cs="ArialMT"/>
        </w:rPr>
        <w:t>interests to do so.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On a child’s 11th birthday, the scope of the current proxy access will be restricted, unless</w:t>
      </w:r>
      <w:r w:rsidR="00773B04">
        <w:rPr>
          <w:rFonts w:cs="ArialMT"/>
        </w:rPr>
        <w:t xml:space="preserve"> </w:t>
      </w:r>
      <w:r w:rsidRPr="004C73B7">
        <w:rPr>
          <w:rFonts w:cs="ArialMT"/>
        </w:rPr>
        <w:t>the GP has already assessed the child as able to make an informed decision and the child</w:t>
      </w:r>
      <w:r w:rsidR="00773B04">
        <w:rPr>
          <w:rFonts w:cs="ArialMT"/>
        </w:rPr>
        <w:t xml:space="preserve"> </w:t>
      </w:r>
      <w:r w:rsidRPr="004C73B7">
        <w:rPr>
          <w:rFonts w:cs="ArialMT"/>
        </w:rPr>
        <w:t xml:space="preserve">has given explicit consent for their record to be shared. </w:t>
      </w:r>
      <w:r>
        <w:rPr>
          <w:rFonts w:cs="ArialMT"/>
        </w:rPr>
        <w:t xml:space="preserve"> </w:t>
      </w:r>
      <w:r w:rsidRPr="004C73B7">
        <w:rPr>
          <w:rFonts w:cs="ArialMT"/>
        </w:rPr>
        <w:t>This is a national standard</w:t>
      </w:r>
      <w:r>
        <w:rPr>
          <w:rFonts w:cs="ArialMT"/>
        </w:rPr>
        <w:t xml:space="preserve"> </w:t>
      </w:r>
      <w:r w:rsidRPr="004C73B7">
        <w:rPr>
          <w:rFonts w:cs="ArialMT"/>
        </w:rPr>
        <w:t>imposed by NHS England to protect the confidentiality rights of young people. We will</w:t>
      </w:r>
      <w:r>
        <w:rPr>
          <w:rFonts w:cs="ArialMT"/>
        </w:rPr>
        <w:t xml:space="preserve"> </w:t>
      </w:r>
      <w:r w:rsidRPr="004C73B7">
        <w:rPr>
          <w:rFonts w:cs="ArialMT"/>
        </w:rPr>
        <w:t xml:space="preserve">send a letter </w:t>
      </w:r>
      <w:r w:rsidRPr="004C73B7">
        <w:rPr>
          <w:rFonts w:cs="ArialMT"/>
        </w:rPr>
        <w:lastRenderedPageBreak/>
        <w:t>to the child and to their parent/legal guardian on their 11th birthday to inform</w:t>
      </w:r>
      <w:r>
        <w:rPr>
          <w:rFonts w:cs="ArialMT"/>
        </w:rPr>
        <w:t xml:space="preserve"> </w:t>
      </w:r>
      <w:r w:rsidRPr="004C73B7">
        <w:rPr>
          <w:rFonts w:cs="ArialMT"/>
        </w:rPr>
        <w:t>them of this change.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From 11-16, a parent with proxy access will be able to manage certain elements of the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young person’s record, such as demographic data, and make appointments and order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repeat prescriptions, but they will not be able to see the young person’s past appointments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or clinical record, although they would still be able to see the current repeat prescription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record</w:t>
      </w:r>
      <w:r w:rsidR="001F4347">
        <w:rPr>
          <w:rFonts w:cs="ArialMT"/>
        </w:rPr>
        <w:t>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At the child’s 16th birthday the remaining proxy access will be switched off, except where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the young person is competent and has given explicit consent to the parental access.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Again, we will send letters to the child and their parent/legal guardian to explain that all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proxy a</w:t>
      </w:r>
      <w:r w:rsidR="00C71CC7">
        <w:rPr>
          <w:rFonts w:cs="ArialMT"/>
        </w:rPr>
        <w:t xml:space="preserve">ccess has now been switched off.  </w:t>
      </w:r>
      <w:r w:rsidRPr="004C73B7">
        <w:rPr>
          <w:rFonts w:cs="ArialMT"/>
        </w:rPr>
        <w:t>If the child wants proxy access re-instated, they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will need to come to the surgery in person, with proof of ID, to request it.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Parents may continue to be allowed proxy access to their child’s online services, after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careful discussion with the GP, if it is felt to be in the child’s best interests.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 xml:space="preserve">Background </w:t>
      </w:r>
      <w:r w:rsidR="00F66591" w:rsidRPr="004C73B7">
        <w:rPr>
          <w:rFonts w:cs="Arial-BoldMT"/>
          <w:b/>
          <w:bCs/>
        </w:rPr>
        <w:t>Information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In UK law, a person's 18th birthday draws the line between childhood and adulthood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(Children Act 1989 s105) - so in health care matters, an 18 year old enjoys as much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autonomy as any other adult.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To a more limited extent, 16 and 17 year-olds can also take medical decisions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independently of their parents. The right of younger children to provide independent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consent is proportionate to their competence - a child's age alone is clearly an unreliable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predictor of his or her competence to make decisions.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-BoldMT"/>
          <w:b/>
          <w:bCs/>
        </w:rPr>
      </w:pPr>
      <w:proofErr w:type="spellStart"/>
      <w:r w:rsidRPr="004C73B7">
        <w:rPr>
          <w:rFonts w:cs="Arial-BoldMT"/>
          <w:b/>
          <w:bCs/>
        </w:rPr>
        <w:t>Gillick</w:t>
      </w:r>
      <w:proofErr w:type="spellEnd"/>
      <w:r w:rsidRPr="004C73B7">
        <w:rPr>
          <w:rFonts w:cs="Arial-BoldMT"/>
          <w:b/>
          <w:bCs/>
        </w:rPr>
        <w:t xml:space="preserve"> </w:t>
      </w:r>
      <w:r w:rsidR="00F66591" w:rsidRPr="004C73B7">
        <w:rPr>
          <w:rFonts w:cs="Arial-BoldMT"/>
          <w:b/>
          <w:bCs/>
        </w:rPr>
        <w:t>Competence</w:t>
      </w:r>
    </w:p>
    <w:p w:rsidR="001F434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The 'Gillick Test' helps clinicians to identify children aged under 16 who have the legal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capacity to consent to medical examination and treatment. They must be able to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demonstrate sufficient maturity and intelligence to understand the nature and implications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of the proposed treatment, including the risks and alternative courses of actions.</w:t>
      </w:r>
    </w:p>
    <w:p w:rsid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In 1983, a judgment in the High Court laid down criteria for establishing whether a child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had the capacity to provide valid consent to treatment in specified circumstances,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irrespective of their age. Two years later, these criteria were approved in the House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Lords and became widely acknowledged as the Gillick test. The Gillick Test was named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after a mother who had challenged health service guidance that would have allowed her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daughters aged </w:t>
      </w:r>
      <w:proofErr w:type="gramStart"/>
      <w:r w:rsidRPr="004C73B7">
        <w:rPr>
          <w:rFonts w:cs="ArialMT"/>
        </w:rPr>
        <w:t>under</w:t>
      </w:r>
      <w:proofErr w:type="gramEnd"/>
      <w:r w:rsidRPr="004C73B7">
        <w:rPr>
          <w:rFonts w:cs="ArialMT"/>
        </w:rPr>
        <w:t xml:space="preserve"> 16 to receive confidential contraceptive advice without her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knowledge.</w:t>
      </w:r>
    </w:p>
    <w:p w:rsidR="001F4347" w:rsidRPr="004C73B7" w:rsidRDefault="001F4347" w:rsidP="004C73B7">
      <w:pPr>
        <w:autoSpaceDE w:val="0"/>
        <w:autoSpaceDN w:val="0"/>
        <w:adjustRightInd w:val="0"/>
        <w:rPr>
          <w:rFonts w:cs="ArialMT"/>
        </w:rPr>
      </w:pPr>
    </w:p>
    <w:p w:rsidR="004C73B7" w:rsidRPr="004C73B7" w:rsidRDefault="004C73B7" w:rsidP="004C73B7">
      <w:pPr>
        <w:autoSpaceDE w:val="0"/>
        <w:autoSpaceDN w:val="0"/>
        <w:adjustRightInd w:val="0"/>
        <w:rPr>
          <w:rFonts w:cs="Arial-BoldMT"/>
          <w:b/>
          <w:bCs/>
        </w:rPr>
      </w:pPr>
      <w:bookmarkStart w:id="0" w:name="_GoBack"/>
      <w:r w:rsidRPr="004C73B7">
        <w:rPr>
          <w:rFonts w:cs="Arial-BoldMT"/>
          <w:b/>
          <w:bCs/>
        </w:rPr>
        <w:t xml:space="preserve">Fraser </w:t>
      </w:r>
      <w:r w:rsidR="00F66591" w:rsidRPr="004C73B7">
        <w:rPr>
          <w:rFonts w:cs="Arial-BoldMT"/>
          <w:b/>
          <w:bCs/>
        </w:rPr>
        <w:t>Guidelines</w:t>
      </w:r>
    </w:p>
    <w:bookmarkEnd w:id="0"/>
    <w:p w:rsidR="004C73B7" w:rsidRPr="004C73B7" w:rsidRDefault="004C73B7" w:rsidP="004C73B7">
      <w:pPr>
        <w:autoSpaceDE w:val="0"/>
        <w:autoSpaceDN w:val="0"/>
        <w:adjustRightInd w:val="0"/>
        <w:rPr>
          <w:rFonts w:cs="ArialMT"/>
        </w:rPr>
      </w:pPr>
      <w:r w:rsidRPr="004C73B7">
        <w:rPr>
          <w:rFonts w:cs="ArialMT"/>
        </w:rPr>
        <w:t>As one of the Law Lords responsible for the Gillick judgment, Lord Fraser specifically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addressed the dilemma of providing contraceptive advice to girls without the knowledge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their parents. He was particularly concerned with the welfare of girls who would not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abstain from intercourse whether they were given contraception or not. The summary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his judgment referring to the provision of contraceptive advice was presented as the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'Fraser guidelines'. Fraser guidelines are narrower than Gillick competencies and relate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specifically </w:t>
      </w:r>
      <w:r w:rsidR="006E5BDE">
        <w:rPr>
          <w:rFonts w:cs="ArialMT"/>
        </w:rPr>
        <w:t xml:space="preserve">to </w:t>
      </w:r>
      <w:r w:rsidRPr="004C73B7">
        <w:rPr>
          <w:rFonts w:cs="ArialMT"/>
        </w:rPr>
        <w:t>contraception.</w:t>
      </w:r>
    </w:p>
    <w:sectPr w:rsidR="004C73B7" w:rsidRPr="004C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CF"/>
    <w:multiLevelType w:val="hybridMultilevel"/>
    <w:tmpl w:val="97C84F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BB6F00"/>
    <w:multiLevelType w:val="hybridMultilevel"/>
    <w:tmpl w:val="3E9AFB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7C0E69"/>
    <w:multiLevelType w:val="hybridMultilevel"/>
    <w:tmpl w:val="2F1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0B9D"/>
    <w:multiLevelType w:val="hybridMultilevel"/>
    <w:tmpl w:val="36769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44450A"/>
    <w:multiLevelType w:val="hybridMultilevel"/>
    <w:tmpl w:val="687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7"/>
    <w:rsid w:val="001F4347"/>
    <w:rsid w:val="0025284C"/>
    <w:rsid w:val="003B7AB2"/>
    <w:rsid w:val="004C73B7"/>
    <w:rsid w:val="00570296"/>
    <w:rsid w:val="00620495"/>
    <w:rsid w:val="00626D67"/>
    <w:rsid w:val="006E5BDE"/>
    <w:rsid w:val="006F7DEA"/>
    <w:rsid w:val="0072547F"/>
    <w:rsid w:val="00773B04"/>
    <w:rsid w:val="007A5A43"/>
    <w:rsid w:val="0086494B"/>
    <w:rsid w:val="00907108"/>
    <w:rsid w:val="00A263C3"/>
    <w:rsid w:val="00AA3D49"/>
    <w:rsid w:val="00B8139F"/>
    <w:rsid w:val="00C71CC7"/>
    <w:rsid w:val="00CC7534"/>
    <w:rsid w:val="00F6659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6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6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6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63C3"/>
    <w:rPr>
      <w:b/>
      <w:bCs/>
    </w:rPr>
  </w:style>
  <w:style w:type="character" w:styleId="Emphasis">
    <w:name w:val="Emphasis"/>
    <w:basedOn w:val="DefaultParagraphFont"/>
    <w:uiPriority w:val="20"/>
    <w:qFormat/>
    <w:rsid w:val="00A263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63C3"/>
    <w:rPr>
      <w:szCs w:val="32"/>
    </w:rPr>
  </w:style>
  <w:style w:type="paragraph" w:styleId="ListParagraph">
    <w:name w:val="List Paragraph"/>
    <w:basedOn w:val="Normal"/>
    <w:uiPriority w:val="34"/>
    <w:qFormat/>
    <w:rsid w:val="00A26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6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3C3"/>
    <w:rPr>
      <w:b/>
      <w:i/>
      <w:sz w:val="24"/>
    </w:rPr>
  </w:style>
  <w:style w:type="character" w:styleId="SubtleEmphasis">
    <w:name w:val="Subtle Emphasis"/>
    <w:uiPriority w:val="19"/>
    <w:qFormat/>
    <w:rsid w:val="00A26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6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6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6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6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3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6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6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6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63C3"/>
    <w:rPr>
      <w:b/>
      <w:bCs/>
    </w:rPr>
  </w:style>
  <w:style w:type="character" w:styleId="Emphasis">
    <w:name w:val="Emphasis"/>
    <w:basedOn w:val="DefaultParagraphFont"/>
    <w:uiPriority w:val="20"/>
    <w:qFormat/>
    <w:rsid w:val="00A263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63C3"/>
    <w:rPr>
      <w:szCs w:val="32"/>
    </w:rPr>
  </w:style>
  <w:style w:type="paragraph" w:styleId="ListParagraph">
    <w:name w:val="List Paragraph"/>
    <w:basedOn w:val="Normal"/>
    <w:uiPriority w:val="34"/>
    <w:qFormat/>
    <w:rsid w:val="00A26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6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3C3"/>
    <w:rPr>
      <w:b/>
      <w:i/>
      <w:sz w:val="24"/>
    </w:rPr>
  </w:style>
  <w:style w:type="character" w:styleId="SubtleEmphasis">
    <w:name w:val="Subtle Emphasis"/>
    <w:uiPriority w:val="19"/>
    <w:qFormat/>
    <w:rsid w:val="00A26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6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6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6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6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3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473D.79A8F7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ithrawcliffemedicalgroup.com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2019-06-12T08:14:00Z</dcterms:created>
  <dcterms:modified xsi:type="dcterms:W3CDTF">2019-06-27T08:16:00Z</dcterms:modified>
</cp:coreProperties>
</file>